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76758" w14:textId="77777777" w:rsidR="00BF3A34" w:rsidRPr="00BF3A34" w:rsidRDefault="00BF3A34" w:rsidP="00BF3A34">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BF3A34">
        <w:rPr>
          <w:rFonts w:ascii="Arial" w:eastAsia="Times New Roman" w:hAnsi="Arial" w:cs="Arial"/>
          <w:b/>
          <w:bCs/>
          <w:color w:val="0B0C0C"/>
          <w:kern w:val="36"/>
          <w:sz w:val="48"/>
          <w:szCs w:val="48"/>
          <w:lang w:val="en-US" w:eastAsia="es-ES"/>
          <w14:ligatures w14:val="none"/>
        </w:rPr>
        <w:t>RSH identifies key risks facing social housing sector in 2022 and beyond</w:t>
      </w:r>
    </w:p>
    <w:p w14:paraId="0F9461A1" w14:textId="77777777" w:rsidR="00BF3A34" w:rsidRPr="00BF3A34" w:rsidRDefault="00BF3A34" w:rsidP="00BF3A34">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BF3A34">
        <w:rPr>
          <w:rFonts w:ascii="Arial" w:eastAsia="Times New Roman" w:hAnsi="Arial" w:cs="Arial"/>
          <w:color w:val="0B0C0C"/>
          <w:kern w:val="0"/>
          <w:sz w:val="27"/>
          <w:szCs w:val="27"/>
          <w:lang w:val="en-US" w:eastAsia="es-ES"/>
          <w14:ligatures w14:val="none"/>
        </w:rPr>
        <w:t>The Sector risk profile sets out the main risks facing the social housing sector and some of the actions registered providers should be taking to manage those risks.</w:t>
      </w:r>
    </w:p>
    <w:p w14:paraId="5F0578EB" w14:textId="77777777" w:rsidR="00BF3A34" w:rsidRPr="00BF3A34" w:rsidRDefault="00BF3A34" w:rsidP="00BF3A34">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BF3A34">
        <w:rPr>
          <w:rFonts w:ascii="Arial" w:eastAsia="Times New Roman" w:hAnsi="Arial" w:cs="Arial"/>
          <w:color w:val="0B0C0C"/>
          <w:kern w:val="0"/>
          <w:sz w:val="27"/>
          <w:szCs w:val="27"/>
          <w:lang w:val="en-US" w:eastAsia="es-ES"/>
          <w14:ligatures w14:val="none"/>
        </w:rPr>
        <w:t xml:space="preserve">The Regulator of Social Housing today (20 October) sets out its view of the key risks and challenges facing the social housing sector. Against a very challenging and fast-moving economic backdrop, the Sector Risk Profile highlights a significant number of specific risks for social housing providers that boards need to manage in meeting the regulator’s standards. Some areas of risk are also relevant to </w:t>
      </w:r>
      <w:proofErr w:type="spellStart"/>
      <w:r w:rsidRPr="00BF3A34">
        <w:rPr>
          <w:rFonts w:ascii="Arial" w:eastAsia="Times New Roman" w:hAnsi="Arial" w:cs="Arial"/>
          <w:color w:val="0B0C0C"/>
          <w:kern w:val="0"/>
          <w:sz w:val="27"/>
          <w:szCs w:val="27"/>
          <w:lang w:val="en-US" w:eastAsia="es-ES"/>
          <w14:ligatures w14:val="none"/>
        </w:rPr>
        <w:t>councillors</w:t>
      </w:r>
      <w:proofErr w:type="spellEnd"/>
      <w:r w:rsidRPr="00BF3A34">
        <w:rPr>
          <w:rFonts w:ascii="Arial" w:eastAsia="Times New Roman" w:hAnsi="Arial" w:cs="Arial"/>
          <w:color w:val="0B0C0C"/>
          <w:kern w:val="0"/>
          <w:sz w:val="27"/>
          <w:szCs w:val="27"/>
          <w:lang w:val="en-US" w:eastAsia="es-ES"/>
          <w14:ligatures w14:val="none"/>
        </w:rPr>
        <w:t xml:space="preserve"> where their authority is responsible for local authority homes.</w:t>
      </w:r>
    </w:p>
    <w:p w14:paraId="6FFCB712" w14:textId="77777777" w:rsidR="00BF3A34" w:rsidRPr="00BF3A34" w:rsidRDefault="00BF3A34" w:rsidP="00BF3A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F3A34">
        <w:rPr>
          <w:rFonts w:ascii="Arial" w:eastAsia="Times New Roman" w:hAnsi="Arial" w:cs="Arial"/>
          <w:color w:val="0B0C0C"/>
          <w:kern w:val="0"/>
          <w:sz w:val="27"/>
          <w:szCs w:val="27"/>
          <w:lang w:val="en-US" w:eastAsia="es-ES"/>
          <w14:ligatures w14:val="none"/>
        </w:rPr>
        <w:t xml:space="preserve">The report shows that providers face substantial financial pressures. </w:t>
      </w:r>
      <w:r w:rsidRPr="003C7172">
        <w:rPr>
          <w:rFonts w:ascii="Arial" w:eastAsia="Times New Roman" w:hAnsi="Arial" w:cs="Arial"/>
          <w:color w:val="0070C0"/>
          <w:kern w:val="0"/>
          <w:sz w:val="27"/>
          <w:szCs w:val="27"/>
          <w:lang w:val="en-US" w:eastAsia="es-ES"/>
          <w14:ligatures w14:val="none"/>
        </w:rPr>
        <w:t>High inflation is impacting on operating costs and the cost of debt is rising at the same time</w:t>
      </w:r>
      <w:r w:rsidRPr="00BF3A34">
        <w:rPr>
          <w:rFonts w:ascii="Arial" w:eastAsia="Times New Roman" w:hAnsi="Arial" w:cs="Arial"/>
          <w:color w:val="0B0C0C"/>
          <w:kern w:val="0"/>
          <w:sz w:val="27"/>
          <w:szCs w:val="27"/>
          <w:lang w:val="en-US" w:eastAsia="es-ES"/>
          <w14:ligatures w14:val="none"/>
        </w:rPr>
        <w:t xml:space="preserve"> as </w:t>
      </w:r>
      <w:r w:rsidRPr="003C7172">
        <w:rPr>
          <w:rFonts w:ascii="Arial" w:eastAsia="Times New Roman" w:hAnsi="Arial" w:cs="Arial"/>
          <w:color w:val="FF0000"/>
          <w:kern w:val="0"/>
          <w:sz w:val="27"/>
          <w:szCs w:val="27"/>
          <w:lang w:val="en-US" w:eastAsia="es-ES"/>
          <w14:ligatures w14:val="none"/>
        </w:rPr>
        <w:t>increased cost of living pressures on tenants</w:t>
      </w:r>
      <w:r w:rsidRPr="00BF3A34">
        <w:rPr>
          <w:rFonts w:ascii="Arial" w:eastAsia="Times New Roman" w:hAnsi="Arial" w:cs="Arial"/>
          <w:color w:val="0B0C0C"/>
          <w:kern w:val="0"/>
          <w:sz w:val="27"/>
          <w:szCs w:val="27"/>
          <w:lang w:val="en-US" w:eastAsia="es-ES"/>
          <w14:ligatures w14:val="none"/>
        </w:rPr>
        <w:t xml:space="preserve">, a proposed rent cap, and a weakening housing market. </w:t>
      </w:r>
      <w:r w:rsidRPr="003C7172">
        <w:rPr>
          <w:rFonts w:ascii="Arial" w:eastAsia="Times New Roman" w:hAnsi="Arial" w:cs="Arial"/>
          <w:color w:val="FF0000"/>
          <w:kern w:val="0"/>
          <w:sz w:val="27"/>
          <w:szCs w:val="27"/>
          <w:lang w:val="en-US" w:eastAsia="es-ES"/>
          <w14:ligatures w14:val="none"/>
        </w:rPr>
        <w:t>To maintain financial resilience</w:t>
      </w:r>
      <w:r w:rsidRPr="00BF3A34">
        <w:rPr>
          <w:rFonts w:ascii="Arial" w:eastAsia="Times New Roman" w:hAnsi="Arial" w:cs="Arial"/>
          <w:color w:val="0B0C0C"/>
          <w:kern w:val="0"/>
          <w:sz w:val="27"/>
          <w:szCs w:val="27"/>
          <w:lang w:val="en-US" w:eastAsia="es-ES"/>
          <w14:ligatures w14:val="none"/>
        </w:rPr>
        <w:t xml:space="preserve">, providers need to continue responding appropriately to the changing conditions. Boards and </w:t>
      </w:r>
      <w:proofErr w:type="spellStart"/>
      <w:r w:rsidRPr="00BF3A34">
        <w:rPr>
          <w:rFonts w:ascii="Arial" w:eastAsia="Times New Roman" w:hAnsi="Arial" w:cs="Arial"/>
          <w:color w:val="0B0C0C"/>
          <w:kern w:val="0"/>
          <w:sz w:val="27"/>
          <w:szCs w:val="27"/>
          <w:lang w:val="en-US" w:eastAsia="es-ES"/>
          <w14:ligatures w14:val="none"/>
        </w:rPr>
        <w:t>councillors</w:t>
      </w:r>
      <w:proofErr w:type="spellEnd"/>
      <w:r w:rsidRPr="00BF3A34">
        <w:rPr>
          <w:rFonts w:ascii="Arial" w:eastAsia="Times New Roman" w:hAnsi="Arial" w:cs="Arial"/>
          <w:color w:val="0B0C0C"/>
          <w:kern w:val="0"/>
          <w:sz w:val="27"/>
          <w:szCs w:val="27"/>
          <w:lang w:val="en-US" w:eastAsia="es-ES"/>
          <w14:ligatures w14:val="none"/>
        </w:rPr>
        <w:t xml:space="preserve"> will need to have a clear sense of their priorities and make trade-offs. They must ensure that their mitigating actions are strategic and timely, underpinned by stress testing and robust planning, and communicated effectively to stakeholders.</w:t>
      </w:r>
    </w:p>
    <w:p w14:paraId="4D08165D" w14:textId="77777777" w:rsidR="00BF3A34" w:rsidRPr="00BF3A34" w:rsidRDefault="00BF3A34" w:rsidP="00BF3A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F3A34">
        <w:rPr>
          <w:rFonts w:ascii="Arial" w:eastAsia="Times New Roman" w:hAnsi="Arial" w:cs="Arial"/>
          <w:color w:val="0B0C0C"/>
          <w:kern w:val="0"/>
          <w:sz w:val="27"/>
          <w:szCs w:val="27"/>
          <w:lang w:val="en-US" w:eastAsia="es-ES"/>
          <w14:ligatures w14:val="none"/>
        </w:rPr>
        <w:t xml:space="preserve">Alongside their financial viability, tenant safety and the delivery of landlord services are key responsibilities which boards must continue to </w:t>
      </w:r>
      <w:proofErr w:type="spellStart"/>
      <w:r w:rsidRPr="00BF3A34">
        <w:rPr>
          <w:rFonts w:ascii="Arial" w:eastAsia="Times New Roman" w:hAnsi="Arial" w:cs="Arial"/>
          <w:color w:val="0B0C0C"/>
          <w:kern w:val="0"/>
          <w:sz w:val="27"/>
          <w:szCs w:val="27"/>
          <w:lang w:val="en-US" w:eastAsia="es-ES"/>
          <w14:ligatures w14:val="none"/>
        </w:rPr>
        <w:t>prioritise</w:t>
      </w:r>
      <w:proofErr w:type="spellEnd"/>
      <w:r w:rsidRPr="00BF3A34">
        <w:rPr>
          <w:rFonts w:ascii="Arial" w:eastAsia="Times New Roman" w:hAnsi="Arial" w:cs="Arial"/>
          <w:color w:val="0B0C0C"/>
          <w:kern w:val="0"/>
          <w:sz w:val="27"/>
          <w:szCs w:val="27"/>
          <w:lang w:val="en-US" w:eastAsia="es-ES"/>
          <w14:ligatures w14:val="none"/>
        </w:rPr>
        <w:t xml:space="preserve">. Providers are planning significant investment in existing homes to meet quality, building safety, and </w:t>
      </w:r>
      <w:proofErr w:type="spellStart"/>
      <w:r w:rsidRPr="00BF3A34">
        <w:rPr>
          <w:rFonts w:ascii="Arial" w:eastAsia="Times New Roman" w:hAnsi="Arial" w:cs="Arial"/>
          <w:color w:val="0B0C0C"/>
          <w:kern w:val="0"/>
          <w:sz w:val="27"/>
          <w:szCs w:val="27"/>
          <w:lang w:val="en-US" w:eastAsia="es-ES"/>
          <w14:ligatures w14:val="none"/>
        </w:rPr>
        <w:t>decarbonisation</w:t>
      </w:r>
      <w:proofErr w:type="spellEnd"/>
      <w:r w:rsidRPr="00BF3A34">
        <w:rPr>
          <w:rFonts w:ascii="Arial" w:eastAsia="Times New Roman" w:hAnsi="Arial" w:cs="Arial"/>
          <w:color w:val="0B0C0C"/>
          <w:kern w:val="0"/>
          <w:sz w:val="27"/>
          <w:szCs w:val="27"/>
          <w:lang w:val="en-US" w:eastAsia="es-ES"/>
          <w14:ligatures w14:val="none"/>
        </w:rPr>
        <w:t xml:space="preserve"> commitments. This must be underpinned by robust data on stock condition, a clear understanding of policy changes in these areas, and properly engaging with and listening to tenants. Boards will also need to </w:t>
      </w:r>
      <w:proofErr w:type="spellStart"/>
      <w:r w:rsidRPr="00BF3A34">
        <w:rPr>
          <w:rFonts w:ascii="Arial" w:eastAsia="Times New Roman" w:hAnsi="Arial" w:cs="Arial"/>
          <w:color w:val="0B0C0C"/>
          <w:kern w:val="0"/>
          <w:sz w:val="27"/>
          <w:szCs w:val="27"/>
          <w:lang w:val="en-US" w:eastAsia="es-ES"/>
          <w14:ligatures w14:val="none"/>
        </w:rPr>
        <w:t>recognise</w:t>
      </w:r>
      <w:proofErr w:type="spellEnd"/>
      <w:r w:rsidRPr="00BF3A34">
        <w:rPr>
          <w:rFonts w:ascii="Arial" w:eastAsia="Times New Roman" w:hAnsi="Arial" w:cs="Arial"/>
          <w:color w:val="0B0C0C"/>
          <w:kern w:val="0"/>
          <w:sz w:val="27"/>
          <w:szCs w:val="27"/>
          <w:lang w:val="en-US" w:eastAsia="es-ES"/>
          <w14:ligatures w14:val="none"/>
        </w:rPr>
        <w:t xml:space="preserve"> that </w:t>
      </w:r>
      <w:r w:rsidRPr="003C7172">
        <w:rPr>
          <w:rFonts w:ascii="Arial" w:eastAsia="Times New Roman" w:hAnsi="Arial" w:cs="Arial"/>
          <w:color w:val="0070C0"/>
          <w:kern w:val="0"/>
          <w:sz w:val="27"/>
          <w:szCs w:val="27"/>
          <w:lang w:val="en-US" w:eastAsia="es-ES"/>
          <w14:ligatures w14:val="none"/>
        </w:rPr>
        <w:t xml:space="preserve">delaying investment in existing stock could increase cost pressures over the long term </w:t>
      </w:r>
      <w:r w:rsidRPr="00BF3A34">
        <w:rPr>
          <w:rFonts w:ascii="Arial" w:eastAsia="Times New Roman" w:hAnsi="Arial" w:cs="Arial"/>
          <w:color w:val="0B0C0C"/>
          <w:kern w:val="0"/>
          <w:sz w:val="27"/>
          <w:szCs w:val="27"/>
          <w:lang w:val="en-US" w:eastAsia="es-ES"/>
          <w14:ligatures w14:val="none"/>
        </w:rPr>
        <w:t>and damage the sector’s reputation.</w:t>
      </w:r>
    </w:p>
    <w:p w14:paraId="4A4ECC1F" w14:textId="77777777" w:rsidR="00BF3A34" w:rsidRPr="00BF3A34" w:rsidRDefault="00BF3A34" w:rsidP="00BF3A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F3A34">
        <w:rPr>
          <w:rFonts w:ascii="Arial" w:eastAsia="Times New Roman" w:hAnsi="Arial" w:cs="Arial"/>
          <w:color w:val="0B0C0C"/>
          <w:kern w:val="0"/>
          <w:sz w:val="27"/>
          <w:szCs w:val="27"/>
          <w:lang w:val="en-US" w:eastAsia="es-ES"/>
          <w14:ligatures w14:val="none"/>
        </w:rPr>
        <w:t>Demand for new homes remains high even as the economics of development become more uncertain. Providers will need to consider carefully how to assess new development, ensuring that risks are tightly managed, including investment in market-sale homes which could affect providers’ core social housing business.</w:t>
      </w:r>
    </w:p>
    <w:p w14:paraId="4BF98F09" w14:textId="77777777" w:rsidR="00BF3A34" w:rsidRPr="00BF3A34" w:rsidRDefault="00BF3A34" w:rsidP="00BF3A3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F3A34">
        <w:rPr>
          <w:rFonts w:ascii="Arial" w:eastAsia="Times New Roman" w:hAnsi="Arial" w:cs="Arial"/>
          <w:color w:val="0B0C0C"/>
          <w:kern w:val="0"/>
          <w:sz w:val="27"/>
          <w:szCs w:val="27"/>
          <w:lang w:val="en-US" w:eastAsia="es-ES"/>
          <w14:ligatures w14:val="none"/>
        </w:rPr>
        <w:lastRenderedPageBreak/>
        <w:t>Fiona MacGregor, Chief Executive at RSH, said:</w:t>
      </w:r>
    </w:p>
    <w:p w14:paraId="3FF13AF0" w14:textId="77777777" w:rsidR="00BF3A34" w:rsidRPr="00BF3A34" w:rsidRDefault="00BF3A34" w:rsidP="00BF3A34">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BF3A34">
        <w:rPr>
          <w:rFonts w:ascii="Arial" w:eastAsia="Times New Roman" w:hAnsi="Arial" w:cs="Arial"/>
          <w:color w:val="0B0C0C"/>
          <w:kern w:val="0"/>
          <w:sz w:val="27"/>
          <w:szCs w:val="27"/>
          <w:lang w:val="en-US" w:eastAsia="es-ES"/>
          <w14:ligatures w14:val="none"/>
        </w:rPr>
        <w:t xml:space="preserve">Providers must take a strategic approach to managing the significant risks we have identified in our Sector Risk Profile and act appropriately to maintain their continued financial viability. Boards and </w:t>
      </w:r>
      <w:proofErr w:type="spellStart"/>
      <w:r w:rsidRPr="00BF3A34">
        <w:rPr>
          <w:rFonts w:ascii="Arial" w:eastAsia="Times New Roman" w:hAnsi="Arial" w:cs="Arial"/>
          <w:color w:val="0B0C0C"/>
          <w:kern w:val="0"/>
          <w:sz w:val="27"/>
          <w:szCs w:val="27"/>
          <w:lang w:val="en-US" w:eastAsia="es-ES"/>
          <w14:ligatures w14:val="none"/>
        </w:rPr>
        <w:t>councillors</w:t>
      </w:r>
      <w:proofErr w:type="spellEnd"/>
      <w:r w:rsidRPr="00BF3A34">
        <w:rPr>
          <w:rFonts w:ascii="Arial" w:eastAsia="Times New Roman" w:hAnsi="Arial" w:cs="Arial"/>
          <w:color w:val="0B0C0C"/>
          <w:kern w:val="0"/>
          <w:sz w:val="27"/>
          <w:szCs w:val="27"/>
          <w:lang w:val="en-US" w:eastAsia="es-ES"/>
          <w14:ligatures w14:val="none"/>
        </w:rPr>
        <w:t xml:space="preserve"> are the custodians of people’s homes, and it’s absolutely vital that tenants’ homes, safety and the delivery of essential landlord services are not put at risk.</w:t>
      </w:r>
    </w:p>
    <w:p w14:paraId="246EEDE5" w14:textId="77777777" w:rsidR="00BF3A34" w:rsidRPr="00BF3A34" w:rsidRDefault="00BF3A34" w:rsidP="00BF3A34">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BF3A34">
        <w:rPr>
          <w:rFonts w:ascii="Arial" w:eastAsia="Times New Roman" w:hAnsi="Arial" w:cs="Arial"/>
          <w:color w:val="0B0C0C"/>
          <w:kern w:val="0"/>
          <w:sz w:val="27"/>
          <w:szCs w:val="27"/>
          <w:lang w:val="en-US" w:eastAsia="es-ES"/>
          <w14:ligatures w14:val="none"/>
        </w:rPr>
        <w:t>The annual publications are available on the </w:t>
      </w:r>
      <w:hyperlink r:id="rId4" w:history="1">
        <w:r w:rsidRPr="00BF3A34">
          <w:rPr>
            <w:rFonts w:ascii="Arial" w:eastAsia="Times New Roman" w:hAnsi="Arial" w:cs="Arial"/>
            <w:color w:val="1D70B8"/>
            <w:kern w:val="0"/>
            <w:sz w:val="27"/>
            <w:szCs w:val="27"/>
            <w:u w:val="single"/>
            <w:lang w:val="en-US" w:eastAsia="es-ES"/>
            <w14:ligatures w14:val="none"/>
          </w:rPr>
          <w:t>Sector risk profiles page</w:t>
        </w:r>
      </w:hyperlink>
      <w:r w:rsidRPr="00BF3A34">
        <w:rPr>
          <w:rFonts w:ascii="Arial" w:eastAsia="Times New Roman" w:hAnsi="Arial" w:cs="Arial"/>
          <w:color w:val="0B0C0C"/>
          <w:kern w:val="0"/>
          <w:sz w:val="27"/>
          <w:szCs w:val="27"/>
          <w:lang w:val="en-US" w:eastAsia="es-ES"/>
          <w14:ligatures w14:val="none"/>
        </w:rPr>
        <w:t>.</w:t>
      </w:r>
    </w:p>
    <w:p w14:paraId="05ECD524" w14:textId="77777777" w:rsidR="0046694C" w:rsidRPr="00BF3A34" w:rsidRDefault="0046694C">
      <w:pPr>
        <w:rPr>
          <w:lang w:val="en-US"/>
        </w:rPr>
      </w:pPr>
    </w:p>
    <w:sectPr w:rsidR="0046694C" w:rsidRPr="00BF3A3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A34"/>
    <w:rsid w:val="003C7172"/>
    <w:rsid w:val="0046694C"/>
    <w:rsid w:val="005E17A4"/>
    <w:rsid w:val="00BF3A3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E36AB"/>
  <w15:chartTrackingRefBased/>
  <w15:docId w15:val="{09C7412B-4B76-4A73-B549-FB758FED0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BF3A34"/>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F3A34"/>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BF3A34"/>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BF3A34"/>
    <w:rPr>
      <w:color w:val="0000FF"/>
      <w:u w:val="single"/>
    </w:rPr>
  </w:style>
  <w:style w:type="paragraph" w:styleId="NormalWeb">
    <w:name w:val="Normal (Web)"/>
    <w:basedOn w:val="Normal"/>
    <w:uiPriority w:val="99"/>
    <w:semiHidden/>
    <w:unhideWhenUsed/>
    <w:rsid w:val="00BF3A34"/>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last-child">
    <w:name w:val="last-child"/>
    <w:basedOn w:val="Normal"/>
    <w:rsid w:val="00BF3A34"/>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1211854">
      <w:bodyDiv w:val="1"/>
      <w:marLeft w:val="0"/>
      <w:marRight w:val="0"/>
      <w:marTop w:val="0"/>
      <w:marBottom w:val="0"/>
      <w:divBdr>
        <w:top w:val="none" w:sz="0" w:space="0" w:color="auto"/>
        <w:left w:val="none" w:sz="0" w:space="0" w:color="auto"/>
        <w:bottom w:val="none" w:sz="0" w:space="0" w:color="auto"/>
        <w:right w:val="none" w:sz="0" w:space="0" w:color="auto"/>
      </w:divBdr>
      <w:divsChild>
        <w:div w:id="39745584">
          <w:marLeft w:val="-225"/>
          <w:marRight w:val="-225"/>
          <w:marTop w:val="0"/>
          <w:marBottom w:val="0"/>
          <w:divBdr>
            <w:top w:val="none" w:sz="0" w:space="0" w:color="auto"/>
            <w:left w:val="none" w:sz="0" w:space="0" w:color="auto"/>
            <w:bottom w:val="none" w:sz="0" w:space="0" w:color="auto"/>
            <w:right w:val="none" w:sz="0" w:space="0" w:color="auto"/>
          </w:divBdr>
          <w:divsChild>
            <w:div w:id="1077098671">
              <w:marLeft w:val="0"/>
              <w:marRight w:val="0"/>
              <w:marTop w:val="0"/>
              <w:marBottom w:val="0"/>
              <w:divBdr>
                <w:top w:val="none" w:sz="0" w:space="0" w:color="auto"/>
                <w:left w:val="none" w:sz="0" w:space="0" w:color="auto"/>
                <w:bottom w:val="none" w:sz="0" w:space="0" w:color="auto"/>
                <w:right w:val="none" w:sz="0" w:space="0" w:color="auto"/>
              </w:divBdr>
              <w:divsChild>
                <w:div w:id="714161635">
                  <w:marLeft w:val="0"/>
                  <w:marRight w:val="0"/>
                  <w:marTop w:val="750"/>
                  <w:marBottom w:val="750"/>
                  <w:divBdr>
                    <w:top w:val="none" w:sz="0" w:space="0" w:color="auto"/>
                    <w:left w:val="none" w:sz="0" w:space="0" w:color="auto"/>
                    <w:bottom w:val="none" w:sz="0" w:space="0" w:color="auto"/>
                    <w:right w:val="none" w:sz="0" w:space="0" w:color="auto"/>
                  </w:divBdr>
                </w:div>
              </w:divsChild>
            </w:div>
            <w:div w:id="789009574">
              <w:marLeft w:val="0"/>
              <w:marRight w:val="0"/>
              <w:marTop w:val="0"/>
              <w:marBottom w:val="0"/>
              <w:divBdr>
                <w:top w:val="none" w:sz="0" w:space="0" w:color="auto"/>
                <w:left w:val="none" w:sz="0" w:space="0" w:color="auto"/>
                <w:bottom w:val="none" w:sz="0" w:space="0" w:color="auto"/>
                <w:right w:val="none" w:sz="0" w:space="0" w:color="auto"/>
              </w:divBdr>
            </w:div>
          </w:divsChild>
        </w:div>
        <w:div w:id="1077706607">
          <w:marLeft w:val="-225"/>
          <w:marRight w:val="-225"/>
          <w:marTop w:val="0"/>
          <w:marBottom w:val="0"/>
          <w:divBdr>
            <w:top w:val="none" w:sz="0" w:space="0" w:color="auto"/>
            <w:left w:val="none" w:sz="0" w:space="0" w:color="auto"/>
            <w:bottom w:val="none" w:sz="0" w:space="0" w:color="auto"/>
            <w:right w:val="none" w:sz="0" w:space="0" w:color="auto"/>
          </w:divBdr>
          <w:divsChild>
            <w:div w:id="1067529428">
              <w:marLeft w:val="225"/>
              <w:marRight w:val="225"/>
              <w:marTop w:val="0"/>
              <w:marBottom w:val="0"/>
              <w:divBdr>
                <w:top w:val="single" w:sz="6" w:space="0" w:color="B1B4B6"/>
                <w:left w:val="none" w:sz="0" w:space="0" w:color="auto"/>
                <w:bottom w:val="none" w:sz="0" w:space="0" w:color="auto"/>
                <w:right w:val="none" w:sz="0" w:space="0" w:color="auto"/>
              </w:divBdr>
              <w:divsChild>
                <w:div w:id="482627261">
                  <w:marLeft w:val="0"/>
                  <w:marRight w:val="0"/>
                  <w:marTop w:val="0"/>
                  <w:marBottom w:val="0"/>
                  <w:divBdr>
                    <w:top w:val="none" w:sz="0" w:space="0" w:color="auto"/>
                    <w:left w:val="none" w:sz="0" w:space="0" w:color="auto"/>
                    <w:bottom w:val="none" w:sz="0" w:space="0" w:color="auto"/>
                    <w:right w:val="none" w:sz="0" w:space="0" w:color="auto"/>
                  </w:divBdr>
                  <w:divsChild>
                    <w:div w:id="1789545608">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679623762">
          <w:marLeft w:val="-225"/>
          <w:marRight w:val="-225"/>
          <w:marTop w:val="0"/>
          <w:marBottom w:val="0"/>
          <w:divBdr>
            <w:top w:val="none" w:sz="0" w:space="0" w:color="auto"/>
            <w:left w:val="none" w:sz="0" w:space="0" w:color="auto"/>
            <w:bottom w:val="none" w:sz="0" w:space="0" w:color="auto"/>
            <w:right w:val="none" w:sz="0" w:space="0" w:color="auto"/>
          </w:divBdr>
          <w:divsChild>
            <w:div w:id="1103065482">
              <w:marLeft w:val="0"/>
              <w:marRight w:val="0"/>
              <w:marTop w:val="0"/>
              <w:marBottom w:val="0"/>
              <w:divBdr>
                <w:top w:val="none" w:sz="0" w:space="0" w:color="auto"/>
                <w:left w:val="none" w:sz="0" w:space="0" w:color="auto"/>
                <w:bottom w:val="none" w:sz="0" w:space="0" w:color="auto"/>
                <w:right w:val="none" w:sz="0" w:space="0" w:color="auto"/>
              </w:divBdr>
              <w:divsChild>
                <w:div w:id="1528836905">
                  <w:marLeft w:val="0"/>
                  <w:marRight w:val="0"/>
                  <w:marTop w:val="0"/>
                  <w:marBottom w:val="750"/>
                  <w:divBdr>
                    <w:top w:val="none" w:sz="0" w:space="0" w:color="auto"/>
                    <w:left w:val="none" w:sz="0" w:space="0" w:color="auto"/>
                    <w:bottom w:val="none" w:sz="0" w:space="0" w:color="auto"/>
                    <w:right w:val="none" w:sz="0" w:space="0" w:color="auto"/>
                  </w:divBdr>
                  <w:divsChild>
                    <w:div w:id="886260002">
                      <w:marLeft w:val="0"/>
                      <w:marRight w:val="0"/>
                      <w:marTop w:val="0"/>
                      <w:marBottom w:val="750"/>
                      <w:divBdr>
                        <w:top w:val="none" w:sz="0" w:space="0" w:color="auto"/>
                        <w:left w:val="none" w:sz="0" w:space="0" w:color="auto"/>
                        <w:bottom w:val="none" w:sz="0" w:space="0" w:color="auto"/>
                        <w:right w:val="none" w:sz="0" w:space="0" w:color="auto"/>
                      </w:divBdr>
                      <w:divsChild>
                        <w:div w:id="20211380">
                          <w:marLeft w:val="0"/>
                          <w:marRight w:val="0"/>
                          <w:marTop w:val="0"/>
                          <w:marBottom w:val="0"/>
                          <w:divBdr>
                            <w:top w:val="none" w:sz="0" w:space="0" w:color="auto"/>
                            <w:left w:val="none" w:sz="0" w:space="0" w:color="auto"/>
                            <w:bottom w:val="none" w:sz="0" w:space="0" w:color="auto"/>
                            <w:right w:val="none" w:sz="0" w:space="0" w:color="auto"/>
                          </w:divBdr>
                          <w:divsChild>
                            <w:div w:id="2074962464">
                              <w:marLeft w:val="0"/>
                              <w:marRight w:val="0"/>
                              <w:marTop w:val="0"/>
                              <w:marBottom w:val="0"/>
                              <w:divBdr>
                                <w:top w:val="none" w:sz="0" w:space="0" w:color="auto"/>
                                <w:left w:val="none" w:sz="0" w:space="0" w:color="auto"/>
                                <w:bottom w:val="none" w:sz="0" w:space="0" w:color="auto"/>
                                <w:right w:val="none" w:sz="0" w:space="0" w:color="auto"/>
                              </w:divBdr>
                              <w:divsChild>
                                <w:div w:id="1908563694">
                                  <w:blockQuote w:val="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gov.uk/government/collections/sector-risk-profil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441</Words>
  <Characters>2430</Characters>
  <Application>Microsoft Office Word</Application>
  <DocSecurity>0</DocSecurity>
  <Lines>20</Lines>
  <Paragraphs>5</Paragraphs>
  <ScaleCrop>false</ScaleCrop>
  <Company/>
  <LinksUpToDate>false</LinksUpToDate>
  <CharactersWithSpaces>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2023-07-10T19:32:00Z</dcterms:created>
  <dcterms:modified xsi:type="dcterms:W3CDTF">2023-07-10T19:32:00Z</dcterms:modified>
</cp:coreProperties>
</file>